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2457450" cy="69056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90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00" w:before="40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PRONTUARIO</w:t>
      </w:r>
    </w:p>
    <w:p w:rsidR="00000000" w:rsidDel="00000000" w:rsidP="00000000" w:rsidRDefault="00000000" w:rsidRPr="00000000" w14:paraId="00000003">
      <w:pPr>
        <w:spacing w:after="160" w:before="160" w:line="276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TÍTULO</w:t>
      </w:r>
      <w:r w:rsidDel="00000000" w:rsidR="00000000" w:rsidRPr="00000000">
        <w:rPr>
          <w:sz w:val="24"/>
          <w:szCs w:val="24"/>
          <w:rtl w:val="0"/>
        </w:rPr>
        <w:t xml:space="preserve">: </w:t>
        <w:tab/>
        <w:tab/>
        <w:t xml:space="preserve">Metodología del entrenamiento</w:t>
      </w:r>
    </w:p>
    <w:p w:rsidR="00000000" w:rsidDel="00000000" w:rsidP="00000000" w:rsidRDefault="00000000" w:rsidRPr="00000000" w14:paraId="00000004">
      <w:pPr>
        <w:spacing w:after="160" w:before="16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CODIFICACIÓN</w:t>
      </w:r>
      <w:r w:rsidDel="00000000" w:rsidR="00000000" w:rsidRPr="00000000">
        <w:rPr>
          <w:sz w:val="24"/>
          <w:szCs w:val="24"/>
          <w:rtl w:val="0"/>
        </w:rPr>
        <w:t xml:space="preserve">: </w:t>
        <w:tab/>
        <w:t xml:space="preserve">CFI 401                   </w:t>
      </w:r>
    </w:p>
    <w:p w:rsidR="00000000" w:rsidDel="00000000" w:rsidP="00000000" w:rsidRDefault="00000000" w:rsidRPr="00000000" w14:paraId="00000005">
      <w:pPr>
        <w:spacing w:after="160" w:before="160" w:line="276" w:lineRule="auto"/>
        <w:rPr>
          <w:b w:val="1"/>
          <w:color w:val="999999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PRERREQUISITO</w:t>
      </w:r>
      <w:r w:rsidDel="00000000" w:rsidR="00000000" w:rsidRPr="00000000">
        <w:rPr>
          <w:sz w:val="24"/>
          <w:szCs w:val="24"/>
          <w:rtl w:val="0"/>
        </w:rPr>
        <w:t xml:space="preserve">: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CFI 204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before="16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CRÉDITOS</w:t>
      </w:r>
      <w:r w:rsidDel="00000000" w:rsidR="00000000" w:rsidRPr="00000000">
        <w:rPr>
          <w:sz w:val="24"/>
          <w:szCs w:val="24"/>
          <w:rtl w:val="0"/>
        </w:rPr>
        <w:t xml:space="preserve">: </w:t>
        <w:tab/>
        <w:tab/>
        <w:t xml:space="preserve">3 créditos | 45 horas contacto | 1 término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160" w:before="520" w:line="240" w:lineRule="auto"/>
        <w:jc w:val="both"/>
        <w:rPr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DESCRIPCIÓN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curso ofrece una introducción a la metodología del entrenamiento deportivo. Se trabaja, se promueve y comparte el conocimiento de métodos cuantitativos y cualitativos apropiados de entrenamiento atlético incluyendo personas saludables y aquellos que incursionan en la actividad física organizada, en el deporte de base, y el subsiguiente desarrollo deportivo y finalmente en alto nivel de competición. Se analizan los factores científicos que influyen en la preparación, organización y estructuración de los programas de entrenamiento en todas las edades y capacidades de rendimiento.  También, se educa al estudiante para el uso del método científico aplicado al ámbito deportivo para el desarrollo de planes de entrenamiento semanal, mensual y anual en la población de atletas universitarios, población general, y atletas de alto rendimiento.  Esto a su vez implica el estudio de las facilidades, equipo técnico, concepto táctico y deportivo.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after="160" w:before="40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JUSTIFICACIÓN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los pasados años el entrenamiento de atletas élite se ha ido modificando y a su vez provocado que se reconozca como una ciencia del deporte.  Esta nueva visión científica nos conduce a conocer sobre nuevos métodos de entrenamiento evitando así sobre entrenar a los atletas y/o individuos de poblaciones general o especial.  El estudiante de ciencias del ejercicio requiere capacitarse para proveer un mejor servicio de prescripción de planes de entrenamiento a corto y largo plazo.  Es necesario que el estudiante individualice la metodología del entrenamiento científico a ser aplicada para el atleta competitivo y para la población general o población especial que desee ejercitarse para alcanzar un mejor estado de salud y tener un mejor estilo de vida.  Es fundamental que el estudiante pueda intervenir de manera segura y científica con sus clientes para contribuir de manera individual y/o grupal para que alcance sus metas exitosamente.  La búsqueda de nuevos niveles deportivos solo es alcanzable si establecemos un proceso mensurable de manera cualitativa y cuantitativamente palpable. </w:t>
      </w:r>
    </w:p>
    <w:p w:rsidR="00000000" w:rsidDel="00000000" w:rsidP="00000000" w:rsidRDefault="00000000" w:rsidRPr="00000000" w14:paraId="0000000C">
      <w:pPr>
        <w:pStyle w:val="Heading1"/>
        <w:keepLines w:val="0"/>
        <w:spacing w:after="160" w:before="400" w:line="240" w:lineRule="auto"/>
        <w:jc w:val="both"/>
        <w:rPr>
          <w:b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COMPETENCIAS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curso desarrolla el o la estudiante las siguientes competencias: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810" w:hanging="45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Cuestionamiento crítico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Investigación y exploración</w:t>
      </w:r>
    </w:p>
    <w:p w:rsidR="00000000" w:rsidDel="00000000" w:rsidP="00000000" w:rsidRDefault="00000000" w:rsidRPr="00000000" w14:paraId="00000011">
      <w:pPr>
        <w:pStyle w:val="Heading1"/>
        <w:spacing w:after="160" w:line="240" w:lineRule="auto"/>
        <w:rPr>
          <w:b w:val="1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12">
      <w:pPr>
        <w:spacing w:line="240" w:lineRule="auto"/>
        <w:ind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finalizar el curso el o la estudiante es capaz de: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Llevar mediciones y evaluaciones físicas a atletas de los diferentes niveles</w:t>
      </w:r>
    </w:p>
    <w:p w:rsidR="00000000" w:rsidDel="00000000" w:rsidP="00000000" w:rsidRDefault="00000000" w:rsidRPr="00000000" w14:paraId="00000015">
      <w:pPr>
        <w:numPr>
          <w:ilvl w:val="1"/>
          <w:numId w:val="1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Iniciación</w:t>
      </w:r>
    </w:p>
    <w:p w:rsidR="00000000" w:rsidDel="00000000" w:rsidP="00000000" w:rsidRDefault="00000000" w:rsidRPr="00000000" w14:paraId="00000016">
      <w:pPr>
        <w:numPr>
          <w:ilvl w:val="1"/>
          <w:numId w:val="1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Desarrollo</w:t>
      </w:r>
    </w:p>
    <w:p w:rsidR="00000000" w:rsidDel="00000000" w:rsidP="00000000" w:rsidRDefault="00000000" w:rsidRPr="00000000" w14:paraId="00000017">
      <w:pPr>
        <w:numPr>
          <w:ilvl w:val="1"/>
          <w:numId w:val="1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Alto rendimiento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Analizar las necesidades energéticas de los atletas</w:t>
      </w:r>
    </w:p>
    <w:p w:rsidR="00000000" w:rsidDel="00000000" w:rsidP="00000000" w:rsidRDefault="00000000" w:rsidRPr="00000000" w14:paraId="00000019">
      <w:pPr>
        <w:numPr>
          <w:ilvl w:val="1"/>
          <w:numId w:val="1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Iniciación</w:t>
      </w:r>
    </w:p>
    <w:p w:rsidR="00000000" w:rsidDel="00000000" w:rsidP="00000000" w:rsidRDefault="00000000" w:rsidRPr="00000000" w14:paraId="0000001A">
      <w:pPr>
        <w:numPr>
          <w:ilvl w:val="1"/>
          <w:numId w:val="1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Desarrollo</w:t>
      </w:r>
    </w:p>
    <w:p w:rsidR="00000000" w:rsidDel="00000000" w:rsidP="00000000" w:rsidRDefault="00000000" w:rsidRPr="00000000" w14:paraId="0000001B">
      <w:pPr>
        <w:numPr>
          <w:ilvl w:val="1"/>
          <w:numId w:val="1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Alto rendimiento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Cuantificar el resultado del plan de trabajo realizado en un conjunto de esfuerzos físicos, para luego estructurar un plan de entrenamiento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Corto plazo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Plazo intermedio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Largo plazo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Identificar y desarrollar una planificación anual de entrenamiento de acuerdo a ciclos de la participación deportiva o recreativa.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Analizar y evaluar métodos y principios de entrenamiento.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Definir aspectos relativos a la organización de una metodología de entrenamiento de manera segura.</w:t>
      </w:r>
    </w:p>
    <w:p w:rsidR="00000000" w:rsidDel="00000000" w:rsidP="00000000" w:rsidRDefault="00000000" w:rsidRPr="00000000" w14:paraId="00000023">
      <w:pPr>
        <w:pStyle w:val="Heading1"/>
        <w:keepLines w:val="0"/>
        <w:spacing w:after="160" w:before="40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CONTENIDO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16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Cualidades físicas y entrenamiento.</w:t>
        <w:tab/>
      </w:r>
    </w:p>
    <w:p w:rsidR="00000000" w:rsidDel="00000000" w:rsidP="00000000" w:rsidRDefault="00000000" w:rsidRPr="00000000" w14:paraId="00000025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Definición de entrenamiento y rendimiento</w:t>
      </w:r>
    </w:p>
    <w:p w:rsidR="00000000" w:rsidDel="00000000" w:rsidP="00000000" w:rsidRDefault="00000000" w:rsidRPr="00000000" w14:paraId="00000026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Rendimiento físico</w:t>
      </w:r>
    </w:p>
    <w:p w:rsidR="00000000" w:rsidDel="00000000" w:rsidP="00000000" w:rsidRDefault="00000000" w:rsidRPr="00000000" w14:paraId="00000027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Capacidades aeróbicas y anaeróbicas</w:t>
      </w:r>
    </w:p>
    <w:p w:rsidR="00000000" w:rsidDel="00000000" w:rsidP="00000000" w:rsidRDefault="00000000" w:rsidRPr="00000000" w14:paraId="00000028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Cuantificación de trabajo físico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170"/>
        </w:tabs>
        <w:spacing w:after="160" w:before="16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Conceptos iniciales y avanzados en el entrenamiento de atletas elites.</w:t>
      </w:r>
    </w:p>
    <w:p w:rsidR="00000000" w:rsidDel="00000000" w:rsidP="00000000" w:rsidRDefault="00000000" w:rsidRPr="00000000" w14:paraId="0000002A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Aplicación de las ciencias a los entrenamientos</w:t>
      </w:r>
    </w:p>
    <w:p w:rsidR="00000000" w:rsidDel="00000000" w:rsidP="00000000" w:rsidRDefault="00000000" w:rsidRPr="00000000" w14:paraId="0000002B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Utilización de instrumentos y sistemas de evaluación </w:t>
      </w:r>
    </w:p>
    <w:p w:rsidR="00000000" w:rsidDel="00000000" w:rsidP="00000000" w:rsidRDefault="00000000" w:rsidRPr="00000000" w14:paraId="0000002C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Análisis fisiológico de las adaptaciones al entrenamiento</w:t>
      </w:r>
    </w:p>
    <w:p w:rsidR="00000000" w:rsidDel="00000000" w:rsidP="00000000" w:rsidRDefault="00000000" w:rsidRPr="00000000" w14:paraId="0000002D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Análisis biomecánico de los deportes</w:t>
      </w:r>
    </w:p>
    <w:p w:rsidR="00000000" w:rsidDel="00000000" w:rsidP="00000000" w:rsidRDefault="00000000" w:rsidRPr="00000000" w14:paraId="0000002E">
      <w:pPr>
        <w:tabs>
          <w:tab w:val="left" w:pos="720"/>
          <w:tab w:val="left" w:pos="117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170"/>
        </w:tabs>
        <w:spacing w:after="160" w:before="16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Planificación semanal (micro-ciclos)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Microciclos preparatorios o de alta intensidad</w:t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Microciclos con varios picos de intensidad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Microciclos de aprendizaje, desarrollo o perfeccionamiento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Ciclos diarios dentro de los microciclos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Sesiones de entrenamiento dentro de los ciclos diarios</w:t>
      </w:r>
    </w:p>
    <w:p w:rsidR="00000000" w:rsidDel="00000000" w:rsidP="00000000" w:rsidRDefault="00000000" w:rsidRPr="00000000" w14:paraId="00000035">
      <w:pPr>
        <w:tabs>
          <w:tab w:val="left" w:pos="720"/>
          <w:tab w:val="left" w:pos="117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170"/>
        </w:tabs>
        <w:spacing w:after="160" w:before="16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Planificación anual de macrociclos de entrenamiento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A. </w:t>
      </w:r>
      <w:r w:rsidDel="00000000" w:rsidR="00000000" w:rsidRPr="00000000">
        <w:rPr>
          <w:sz w:val="24"/>
          <w:szCs w:val="24"/>
          <w:rtl w:val="0"/>
        </w:rPr>
        <w:t xml:space="preserve">Ciclos anuales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numPr>
          <w:ilvl w:val="2"/>
          <w:numId w:val="9"/>
        </w:numPr>
        <w:tabs>
          <w:tab w:val="left" w:pos="1530"/>
        </w:tabs>
        <w:spacing w:after="0" w:before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Planificación sencilla, </w:t>
      </w:r>
    </w:p>
    <w:p w:rsidR="00000000" w:rsidDel="00000000" w:rsidP="00000000" w:rsidRDefault="00000000" w:rsidRPr="00000000" w14:paraId="00000039">
      <w:pPr>
        <w:pStyle w:val="Heading3"/>
        <w:numPr>
          <w:ilvl w:val="2"/>
          <w:numId w:val="9"/>
        </w:numPr>
        <w:spacing w:after="0" w:before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Planificación doble, </w:t>
      </w:r>
    </w:p>
    <w:p w:rsidR="00000000" w:rsidDel="00000000" w:rsidP="00000000" w:rsidRDefault="00000000" w:rsidRPr="00000000" w14:paraId="0000003A">
      <w:pPr>
        <w:pStyle w:val="Heading3"/>
        <w:numPr>
          <w:ilvl w:val="2"/>
          <w:numId w:val="9"/>
        </w:numPr>
        <w:spacing w:after="0" w:before="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Planificación triple</w:t>
      </w:r>
    </w:p>
    <w:p w:rsidR="00000000" w:rsidDel="00000000" w:rsidP="00000000" w:rsidRDefault="00000000" w:rsidRPr="00000000" w14:paraId="0000003B">
      <w:pPr>
        <w:pStyle w:val="Heading2"/>
        <w:numPr>
          <w:ilvl w:val="1"/>
          <w:numId w:val="9"/>
        </w:numPr>
        <w:spacing w:after="0" w:before="0" w:line="24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Etapa preparatoria 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14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General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14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Específica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14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Precompetitiva y competitiva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14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Etapa de transición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170"/>
        </w:tabs>
        <w:spacing w:after="160" w:before="16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Periodización de habilidades </w:t>
      </w:r>
      <w:r w:rsidDel="00000000" w:rsidR="00000000" w:rsidRPr="00000000">
        <w:rPr>
          <w:sz w:val="24"/>
          <w:szCs w:val="24"/>
          <w:rtl w:val="0"/>
        </w:rPr>
        <w:t xml:space="preserve">biomotoras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Periodización y entrenamiento de fuerza</w:t>
      </w:r>
    </w:p>
    <w:p w:rsidR="00000000" w:rsidDel="00000000" w:rsidP="00000000" w:rsidRDefault="00000000" w:rsidRPr="00000000" w14:paraId="00000042">
      <w:pPr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Periodización y entrenamiento de resistencia</w:t>
      </w:r>
    </w:p>
    <w:p w:rsidR="00000000" w:rsidDel="00000000" w:rsidP="00000000" w:rsidRDefault="00000000" w:rsidRPr="00000000" w14:paraId="00000043">
      <w:pPr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Periodización y entrenamiento de velocidad</w:t>
      </w:r>
    </w:p>
    <w:p w:rsidR="00000000" w:rsidDel="00000000" w:rsidP="00000000" w:rsidRDefault="00000000" w:rsidRPr="00000000" w14:paraId="00000044">
      <w:pPr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Periodización y entrenamiento de potencia (pliométricos)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170"/>
        </w:tabs>
        <w:spacing w:after="160" w:before="16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Aspectos de entrenamiento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Táctica y técnica de las disciplinas deportivas 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Aspectos </w:t>
      </w:r>
      <w:r w:rsidDel="00000000" w:rsidR="00000000" w:rsidRPr="00000000">
        <w:rPr>
          <w:sz w:val="24"/>
          <w:szCs w:val="24"/>
          <w:rtl w:val="0"/>
        </w:rPr>
        <w:t xml:space="preserve">psicológicos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del entrenamiento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170"/>
        </w:tabs>
        <w:spacing w:after="160" w:before="16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Prevención </w:t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Ayudas ergogénicas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170"/>
        </w:tabs>
        <w:spacing w:after="160" w:before="16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Facilidades y equipo técnico</w:t>
      </w:r>
    </w:p>
    <w:p w:rsidR="00000000" w:rsidDel="00000000" w:rsidP="00000000" w:rsidRDefault="00000000" w:rsidRPr="00000000" w14:paraId="0000004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Utilización de facilidades deportivas</w:t>
      </w:r>
    </w:p>
    <w:p w:rsidR="00000000" w:rsidDel="00000000" w:rsidP="00000000" w:rsidRDefault="00000000" w:rsidRPr="00000000" w14:paraId="0000004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Utilización de equipo cinematográfico para los entrenamientos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170"/>
        </w:tabs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pacing w:after="0" w:before="200" w:line="240" w:lineRule="auto"/>
        <w:rPr>
          <w:b w:val="1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24"/>
          <w:szCs w:val="24"/>
          <w:rtl w:val="0"/>
        </w:rPr>
        <w:t xml:space="preserve">METODOLOGÍA</w:t>
      </w:r>
    </w:p>
    <w:p w:rsidR="00000000" w:rsidDel="00000000" w:rsidP="00000000" w:rsidRDefault="00000000" w:rsidRPr="00000000" w14:paraId="00000050">
      <w:pPr>
        <w:spacing w:before="200" w:line="24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Se recomiendan las siguientes estrategias de la metodología de aprendizaje activo: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Conferencias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Experiencias [role playing]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Discusiones grupales [debates de ideas y conceptos]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Proyectos especiales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Trabajos de campo</w:t>
      </w:r>
    </w:p>
    <w:p w:rsidR="00000000" w:rsidDel="00000000" w:rsidP="00000000" w:rsidRDefault="00000000" w:rsidRPr="00000000" w14:paraId="00000056">
      <w:pPr>
        <w:pStyle w:val="Heading1"/>
        <w:tabs>
          <w:tab w:val="center" w:pos="4680"/>
        </w:tabs>
        <w:spacing w:after="160" w:line="240" w:lineRule="auto"/>
        <w:jc w:val="both"/>
        <w:rPr>
          <w:b w:val="1"/>
          <w:color w:val="999999"/>
          <w:sz w:val="24"/>
          <w:szCs w:val="24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24"/>
          <w:szCs w:val="24"/>
          <w:rtl w:val="0"/>
        </w:rPr>
        <w:t xml:space="preserve">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center" w:pos="6480"/>
        </w:tabs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Trabajos parciales</w:t>
        <w:tab/>
        <w:t xml:space="preserve">30%</w:t>
      </w:r>
    </w:p>
    <w:p w:rsidR="00000000" w:rsidDel="00000000" w:rsidP="00000000" w:rsidRDefault="00000000" w:rsidRPr="00000000" w14:paraId="00000058">
      <w:pPr>
        <w:tabs>
          <w:tab w:val="center" w:pos="6480"/>
        </w:tabs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Presentación oral</w:t>
        <w:tab/>
        <w:t xml:space="preserve">20%</w:t>
      </w:r>
    </w:p>
    <w:p w:rsidR="00000000" w:rsidDel="00000000" w:rsidP="00000000" w:rsidRDefault="00000000" w:rsidRPr="00000000" w14:paraId="00000059">
      <w:pPr>
        <w:tabs>
          <w:tab w:val="center" w:pos="6480"/>
        </w:tabs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Composiciones</w:t>
        <w:tab/>
        <w:t xml:space="preserve">20%</w:t>
      </w:r>
    </w:p>
    <w:p w:rsidR="00000000" w:rsidDel="00000000" w:rsidP="00000000" w:rsidRDefault="00000000" w:rsidRPr="00000000" w14:paraId="0000005A">
      <w:pPr>
        <w:tabs>
          <w:tab w:val="center" w:pos="6480"/>
        </w:tabs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Proyecto o examen (final)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30%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center" w:pos="6480"/>
        </w:tabs>
        <w:spacing w:line="24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</w:t>
        <w:tab/>
      </w:r>
      <w:r w:rsidDel="00000000" w:rsidR="00000000" w:rsidRPr="00000000">
        <w:rPr>
          <w:sz w:val="24"/>
          <w:szCs w:val="24"/>
          <w:rtl w:val="0"/>
        </w:rPr>
        <w:t xml:space="preserve">100%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before="40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AVALÚO DEL APRENDIZAJE</w:t>
      </w:r>
    </w:p>
    <w:p w:rsidR="00000000" w:rsidDel="00000000" w:rsidP="00000000" w:rsidRDefault="00000000" w:rsidRPr="00000000" w14:paraId="0000005D">
      <w:pPr>
        <w:tabs>
          <w:tab w:val="center" w:pos="4680"/>
        </w:tabs>
        <w:spacing w:before="2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aplica la rúbrica de avalúo institucional a la actividad central del curso.</w:t>
      </w:r>
    </w:p>
    <w:p w:rsidR="00000000" w:rsidDel="00000000" w:rsidP="00000000" w:rsidRDefault="00000000" w:rsidRPr="00000000" w14:paraId="0000005E">
      <w:pPr>
        <w:tabs>
          <w:tab w:val="center" w:pos="468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b w:val="1"/>
          <w:sz w:val="24"/>
          <w:szCs w:val="24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BIBLIOGRAFÍA</w:t>
      </w:r>
    </w:p>
    <w:p w:rsidR="00000000" w:rsidDel="00000000" w:rsidP="00000000" w:rsidRDefault="00000000" w:rsidRPr="00000000" w14:paraId="00000061">
      <w:pPr>
        <w:pStyle w:val="Heading1"/>
        <w:spacing w:after="160" w:before="2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</w:t>
      </w:r>
    </w:p>
    <w:p w:rsidR="00000000" w:rsidDel="00000000" w:rsidP="00000000" w:rsidRDefault="00000000" w:rsidRPr="00000000" w14:paraId="0000006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480" w:lineRule="auto"/>
        <w:ind w:left="720" w:hanging="72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Bompa, T. O., Buzzichelli, C. A. (2018). Periodization: Theory and Methodology of Training.  (6th ed.).  Human Kinetics,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60" w:before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REFERENCIAS</w:t>
      </w:r>
    </w:p>
    <w:p w:rsidR="00000000" w:rsidDel="00000000" w:rsidP="00000000" w:rsidRDefault="00000000" w:rsidRPr="00000000" w14:paraId="00000065">
      <w:pPr>
        <w:spacing w:line="48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American College Sports Medicine. (2020). ACSM’s Guideline for Exercise Testing and Prescription.  (10th ed.). Wolters Kluwer. </w:t>
      </w:r>
    </w:p>
    <w:p w:rsidR="00000000" w:rsidDel="00000000" w:rsidP="00000000" w:rsidRDefault="00000000" w:rsidRPr="00000000" w14:paraId="00000066">
      <w:pPr>
        <w:spacing w:line="48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Bishop, P.A. (2018). Measurement and Evaluation in Physical Activity Applications: Exercise Science, Physical Education, Coaching, Athletic Training and Health. (2nd ed.). Routledge.</w:t>
      </w:r>
    </w:p>
    <w:p w:rsidR="00000000" w:rsidDel="00000000" w:rsidP="00000000" w:rsidRDefault="00000000" w:rsidRPr="00000000" w14:paraId="00000067">
      <w:pPr>
        <w:spacing w:line="48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Bushman, B.A. (ed.) (2017). American College Sports Medicine’s Complete Guide to Fitness and Health. (Second Edition).  Human Kinetics, Inc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8">
      <w:pPr>
        <w:spacing w:line="48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Haff, G.G., &amp; Triplett, N.T. (eds) (2015). Essentials of Strength Training and Conditioning by NSCA. (4th ed.). Human Kinetics, Inc.</w:t>
      </w:r>
    </w:p>
    <w:p w:rsidR="00000000" w:rsidDel="00000000" w:rsidP="00000000" w:rsidRDefault="00000000" w:rsidRPr="00000000" w14:paraId="00000069">
      <w:pPr>
        <w:spacing w:line="480" w:lineRule="auto"/>
        <w:ind w:left="720" w:hanging="720"/>
        <w:rPr>
          <w:sz w:val="24"/>
          <w:szCs w:val="24"/>
        </w:rPr>
      </w:pPr>
      <w:bookmarkStart w:colFirst="0" w:colLast="0" w:name="_heading=h.4d34og8" w:id="8"/>
      <w:bookmarkEnd w:id="8"/>
      <w:r w:rsidDel="00000000" w:rsidR="00000000" w:rsidRPr="00000000">
        <w:rPr>
          <w:sz w:val="24"/>
          <w:szCs w:val="24"/>
          <w:rtl w:val="0"/>
        </w:rPr>
        <w:t xml:space="preserve">LaPres, J. (2019).  Anatomy and Physiology Laboratory Textbook. (7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ed.). McGraw Hill.</w:t>
      </w:r>
    </w:p>
    <w:p w:rsidR="00000000" w:rsidDel="00000000" w:rsidP="00000000" w:rsidRDefault="00000000" w:rsidRPr="00000000" w14:paraId="0000006A">
      <w:pPr>
        <w:spacing w:line="48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Morrow Jr, J. R., Mood, D. P., Disch, J. G., &amp; Kang M. (2016). Measurement and Evaluation in Human Performance. (5th ed.). Human Kinetics, Inc.</w:t>
      </w:r>
    </w:p>
    <w:p w:rsidR="00000000" w:rsidDel="00000000" w:rsidP="00000000" w:rsidRDefault="00000000" w:rsidRPr="00000000" w14:paraId="0000006B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Radak, Z. (2018). The Physiology of Physical Training. (1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. ed.). Academic Press.</w:t>
      </w:r>
    </w:p>
    <w:p w:rsidR="00000000" w:rsidDel="00000000" w:rsidP="00000000" w:rsidRDefault="00000000" w:rsidRPr="00000000" w14:paraId="0000006C">
      <w:pPr>
        <w:spacing w:line="480" w:lineRule="auto"/>
        <w:ind w:left="720" w:hanging="720"/>
        <w:rPr>
          <w:sz w:val="24"/>
          <w:szCs w:val="24"/>
        </w:rPr>
      </w:pPr>
      <w:bookmarkStart w:colFirst="0" w:colLast="0" w:name="_heading=h.2s8eyo1" w:id="9"/>
      <w:bookmarkEnd w:id="9"/>
      <w:r w:rsidDel="00000000" w:rsidR="00000000" w:rsidRPr="00000000">
        <w:rPr>
          <w:sz w:val="24"/>
          <w:szCs w:val="24"/>
          <w:rtl w:val="0"/>
        </w:rPr>
        <w:t xml:space="preserve">Schmidt, R. A., Lee, T.D. (2013). Motor Learning and Performance: From Principles to Application. (5th ed.).  Human Kinetics, Inc.</w:t>
      </w:r>
    </w:p>
    <w:p w:rsidR="00000000" w:rsidDel="00000000" w:rsidP="00000000" w:rsidRDefault="00000000" w:rsidRPr="00000000" w14:paraId="0000006D">
      <w:pPr>
        <w:spacing w:line="48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Turner, A., &amp; Comfort, P. (eds.) (2018). Advance Strength and Conditioning: An Evidence Based Approach. Routledge. </w:t>
      </w:r>
    </w:p>
    <w:p w:rsidR="00000000" w:rsidDel="00000000" w:rsidP="00000000" w:rsidRDefault="00000000" w:rsidRPr="00000000" w14:paraId="0000006E">
      <w:pPr>
        <w:spacing w:line="240" w:lineRule="auto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38" w:line="240" w:lineRule="auto"/>
        <w:ind w:right="-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Puede encontrar más recursos de información relacionados a los temas del curso en la página de la biblioteca 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http://biblioteca.sagrado.edu/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keepNext w:val="0"/>
        <w:spacing w:after="160" w:line="240" w:lineRule="auto"/>
        <w:rPr>
          <w:b w:val="1"/>
          <w:sz w:val="24"/>
          <w:szCs w:val="24"/>
        </w:rPr>
      </w:pPr>
      <w:bookmarkStart w:colFirst="0" w:colLast="0" w:name="_heading=h.17dp8vu" w:id="10"/>
      <w:bookmarkEnd w:id="10"/>
      <w:r w:rsidDel="00000000" w:rsidR="00000000" w:rsidRPr="00000000">
        <w:rPr>
          <w:b w:val="1"/>
          <w:sz w:val="24"/>
          <w:szCs w:val="24"/>
          <w:rtl w:val="0"/>
        </w:rPr>
        <w:t xml:space="preserve">ACOMODO RAZONABLE</w:t>
      </w:r>
    </w:p>
    <w:p w:rsidR="00000000" w:rsidDel="00000000" w:rsidP="00000000" w:rsidRDefault="00000000" w:rsidRPr="00000000" w14:paraId="00000071">
      <w:pPr>
        <w:pStyle w:val="Heading1"/>
        <w:keepNext w:val="0"/>
        <w:spacing w:after="0" w:before="0" w:line="276" w:lineRule="auto"/>
        <w:jc w:val="both"/>
        <w:rPr>
          <w:sz w:val="24"/>
          <w:szCs w:val="24"/>
        </w:rPr>
      </w:pPr>
      <w:bookmarkStart w:colFirst="0" w:colLast="0" w:name="_heading=h.bn5arib0f13u" w:id="11"/>
      <w:bookmarkEnd w:id="11"/>
      <w:r w:rsidDel="00000000" w:rsidR="00000000" w:rsidRPr="00000000">
        <w:rPr>
          <w:sz w:val="24"/>
          <w:szCs w:val="24"/>
          <w:rtl w:val="0"/>
        </w:rPr>
        <w:t xml:space="preserve">Para obtener información detallada del proceso y la documentación requerida, debe visitar la oficina correspondiente. Para garantizar igualdad de condiciones, en cumplimiento de la Ley ADA (1990) y el Acta de Rehabilitación (1973), según enmendada, todo estudiante que necesite servicios de acomodo razonable o asistencia especial deberá completar el proceso establecido por la Vicepresidencia de Asuntos Académicos.</w:t>
      </w:r>
    </w:p>
    <w:p w:rsidR="00000000" w:rsidDel="00000000" w:rsidP="00000000" w:rsidRDefault="00000000" w:rsidRPr="00000000" w14:paraId="00000072">
      <w:pPr>
        <w:spacing w:after="240" w:before="240" w:lineRule="auto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INTEGRIDAD ACADÉMICA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Esta política aplica a todo estudiante matriculado en la Universidad del Sagrado Corazón para tomar cursos con o sin crédito académico. Una falta de integridad académica es todo acto u omisión que no demuestre la honestidad, transparencia y responsabilidad que debe caracterizar toda actividad académica. Todo estudiante que falte a la política de honradez, fraude y plagio se expone a las siguientes sanciones: recibirá nota de cero en la evaluación y/o repetición del trabajo en el seminario, nota de F(*) en el seminario: suspensión o expulsión según se establece en el documento de Política de Integridad Académica con fecha de efectividad de noviembre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keepLines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1"/>
        <w:keepLines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color w:val="999999"/>
          <w:sz w:val="24"/>
          <w:szCs w:val="24"/>
        </w:rPr>
      </w:pPr>
      <w:bookmarkStart w:colFirst="0" w:colLast="0" w:name="_heading=h.lnxbz9" w:id="13"/>
      <w:bookmarkEnd w:id="13"/>
      <w:r w:rsidDel="00000000" w:rsidR="00000000" w:rsidRPr="00000000">
        <w:rPr>
          <w:sz w:val="24"/>
          <w:szCs w:val="24"/>
          <w:rtl w:val="0"/>
        </w:rPr>
        <w:t xml:space="preserve">Derechos reservados | Sagrado | Noviembre, 2022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2520" w:hanging="180"/>
      </w:pPr>
      <w:rPr/>
    </w:lvl>
    <w:lvl w:ilvl="3">
      <w:start w:val="1"/>
      <w:numFmt w:val="lowerLetter"/>
      <w:lvlText w:val="%4)"/>
      <w:lvlJc w:val="left"/>
      <w:pPr>
        <w:ind w:left="3240" w:hanging="360"/>
      </w:pPr>
      <w:rPr/>
    </w:lvl>
    <w:lvl w:ilvl="4">
      <w:start w:val="1"/>
      <w:numFmt w:val="decimal"/>
      <w:lvlText w:val="(%5)"/>
      <w:lvlJc w:val="left"/>
      <w:pPr>
        <w:ind w:left="3960" w:hanging="360"/>
      </w:pPr>
      <w:rPr/>
    </w:lvl>
    <w:lvl w:ilvl="5">
      <w:start w:val="1"/>
      <w:numFmt w:val="lowerLetter"/>
      <w:lvlText w:val="(%6)"/>
      <w:lvlJc w:val="left"/>
      <w:pPr>
        <w:ind w:left="4680" w:hanging="180"/>
      </w:pPr>
      <w:rPr/>
    </w:lvl>
    <w:lvl w:ilvl="6">
      <w:start w:val="1"/>
      <w:numFmt w:val="lowerRoman"/>
      <w:lvlText w:val="(%7)"/>
      <w:lvlJc w:val="right"/>
      <w:pPr>
        <w:ind w:left="5400" w:hanging="360"/>
      </w:pPr>
      <w:rPr/>
    </w:lvl>
    <w:lvl w:ilvl="7">
      <w:start w:val="1"/>
      <w:numFmt w:val="lowerLetter"/>
      <w:lvlText w:val="(%8)"/>
      <w:lvlJc w:val="left"/>
      <w:pPr>
        <w:ind w:left="6120" w:hanging="360"/>
      </w:pPr>
      <w:rPr/>
    </w:lvl>
    <w:lvl w:ilvl="8">
      <w:start w:val="1"/>
      <w:numFmt w:val="lowerRoman"/>
      <w:lvlText w:val="(%9)"/>
      <w:lvlJc w:val="right"/>
      <w:pPr>
        <w:ind w:left="684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decimal"/>
      <w:lvlText w:val="%3."/>
      <w:lvlJc w:val="lef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8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upperLetter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530" w:firstLine="0"/>
      </w:pPr>
      <w:rPr/>
    </w:lvl>
    <w:lvl w:ilvl="4">
      <w:start w:val="1"/>
      <w:numFmt w:val="lowerLetter"/>
      <w:lvlText w:val="%5."/>
      <w:lvlJc w:val="left"/>
      <w:pPr>
        <w:ind w:left="2880" w:firstLine="0"/>
      </w:pPr>
      <w:rPr/>
    </w:lvl>
    <w:lvl w:ilvl="5">
      <w:start w:val="1"/>
      <w:numFmt w:val="lowerRoman"/>
      <w:lvlText w:val="%6."/>
      <w:lvlJc w:val="right"/>
      <w:pPr>
        <w:ind w:left="3600" w:firstLine="0"/>
      </w:pPr>
      <w:rPr/>
    </w:lvl>
    <w:lvl w:ilvl="6">
      <w:start w:val="1"/>
      <w:numFmt w:val="decimal"/>
      <w:lvlText w:val="%7."/>
      <w:lvlJc w:val="left"/>
      <w:pPr>
        <w:ind w:left="4320" w:firstLine="0"/>
      </w:pPr>
      <w:rPr/>
    </w:lvl>
    <w:lvl w:ilvl="7">
      <w:start w:val="1"/>
      <w:numFmt w:val="lowerLetter"/>
      <w:lvlText w:val="%8."/>
      <w:lvlJc w:val="left"/>
      <w:pPr>
        <w:ind w:left="5040" w:firstLine="0"/>
      </w:pPr>
      <w:rPr/>
    </w:lvl>
    <w:lvl w:ilvl="8">
      <w:start w:val="1"/>
      <w:numFmt w:val="lowerRoman"/>
      <w:lvlText w:val="%9."/>
      <w:lvlJc w:val="right"/>
      <w:pPr>
        <w:ind w:left="5760" w:firstLine="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P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720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ind w:left="1440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ind w:left="1530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ind w:left="2880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ind w:left="3600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720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ind w:left="1440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ind w:left="1530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ind w:left="2880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ind w:left="3600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ind w:left="720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ind w:left="1440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ind w:left="1530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ind w:left="2880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ind w:left="3600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ind w:left="7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ind w:left="144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ind w:left="153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ind w:left="28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ind w:left="360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82938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82938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182938"/>
    <w:pPr>
      <w:ind w:left="720"/>
      <w:contextualSpacing w:val="1"/>
    </w:pPr>
  </w:style>
  <w:style w:type="character" w:styleId="screenreader-hidden-offscreen" w:customStyle="1">
    <w:name w:val="screenreader-hidden-offscreen"/>
    <w:basedOn w:val="DefaultParagraphFont"/>
    <w:rsid w:val="00EB3737"/>
  </w:style>
  <w:style w:type="paragraph" w:styleId="NormalWeb">
    <w:name w:val="Normal (Web)"/>
    <w:basedOn w:val="Normal"/>
    <w:uiPriority w:val="99"/>
    <w:semiHidden w:val="1"/>
    <w:unhideWhenUsed w:val="1"/>
    <w:rsid w:val="00EB37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0F1DD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1DD5"/>
  </w:style>
  <w:style w:type="paragraph" w:styleId="Footer">
    <w:name w:val="footer"/>
    <w:basedOn w:val="Normal"/>
    <w:link w:val="FooterChar"/>
    <w:uiPriority w:val="99"/>
    <w:unhideWhenUsed w:val="1"/>
    <w:rsid w:val="000F1DD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1DD5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biblioteca.sagrado.ed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w08Hw0uoqwScXpGzRlS01WqGpQ==">AMUW2mWBEpMvvTDlHWsp0Svj37+m5+8n0h6m9at9WQ7OyErEEiGidCMz2uubRNZx2OZD+HZfun+zn9Lojc2QvMrt5ypONiuOM92dn4mWcfutJQO1J3e6dHKA0HKBWyEDB+P4EG9CziXBS0AVlweofnJj9eYOTodiJJY9RLvHSTAArYSo5sE8PoT+je5DCVuDQNtaoDGeWU6Cv+Y/ZWd3Dz8T2kHadP8xGhr/SuSSrnCA/+9yGcnS3H4hZgoiIBOvkVrodzPkFapahauwfoqPUZagrblQg36qqKOjiyWkR5j6OhOsASchGvo/8z2d6A3CpZcFhoxnbaj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2020-05-12T17:27:00Z</dcterms:created>
  <dc:creator>Nadjah Negrón</dc:creator>
</cp:coreProperties>
</file>